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服务商推荐名单规则</w:t>
      </w:r>
    </w:p>
    <w:p>
      <w:pPr>
        <w:numPr>
          <w:ilvl w:val="0"/>
          <w:numId w:val="1"/>
        </w:numP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公示规则</w:t>
      </w:r>
      <w:bookmarkStart w:id="0" w:name="_GoBack"/>
      <w:bookmarkEnd w:id="0"/>
    </w:p>
    <w:p>
      <w:pPr>
        <w:numPr>
          <w:ilvl w:val="0"/>
          <w:numId w:val="2"/>
        </w:numPr>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公示网址：</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信用通官网 </w:t>
      </w:r>
      <w:r>
        <w:rPr>
          <w:rFonts w:hint="eastAsia" w:ascii="微软雅黑" w:hAnsi="微软雅黑" w:eastAsia="微软雅黑" w:cs="微软雅黑"/>
          <w:lang w:val="en-US" w:eastAsia="zh-CN"/>
        </w:rPr>
        <w:fldChar w:fldCharType="begin"/>
      </w:r>
      <w:r>
        <w:rPr>
          <w:rFonts w:hint="eastAsia" w:ascii="微软雅黑" w:hAnsi="微软雅黑" w:eastAsia="微软雅黑" w:cs="微软雅黑"/>
          <w:lang w:val="en-US" w:eastAsia="zh-CN"/>
        </w:rPr>
        <w:instrText xml:space="preserve"> HYPERLINK "http://www.gzldyg.cn/#/" </w:instrText>
      </w:r>
      <w:r>
        <w:rPr>
          <w:rFonts w:hint="eastAsia" w:ascii="微软雅黑" w:hAnsi="微软雅黑" w:eastAsia="微软雅黑" w:cs="微软雅黑"/>
          <w:lang w:val="en-US" w:eastAsia="zh-CN"/>
        </w:rPr>
        <w:fldChar w:fldCharType="separate"/>
      </w:r>
      <w:r>
        <w:rPr>
          <w:rStyle w:val="4"/>
          <w:rFonts w:hint="eastAsia" w:ascii="微软雅黑" w:hAnsi="微软雅黑" w:eastAsia="微软雅黑" w:cs="微软雅黑"/>
          <w:lang w:val="en-US" w:eastAsia="zh-CN"/>
        </w:rPr>
        <w:t>http://www.gzldyg.cn/#/</w:t>
      </w:r>
      <w:r>
        <w:rPr>
          <w:rFonts w:hint="eastAsia" w:ascii="微软雅黑" w:hAnsi="微软雅黑" w:eastAsia="微软雅黑" w:cs="微软雅黑"/>
          <w:lang w:val="en-US" w:eastAsia="zh-CN"/>
        </w:rPr>
        <w:fldChar w:fldCharType="end"/>
      </w:r>
      <w:r>
        <w:rPr>
          <w:rFonts w:hint="eastAsia" w:ascii="微软雅黑" w:hAnsi="微软雅黑" w:eastAsia="微软雅黑" w:cs="微软雅黑"/>
          <w:lang w:val="en-US" w:eastAsia="zh-CN"/>
        </w:rPr>
        <w:t xml:space="preserve"> 服务商公示板块。</w:t>
      </w:r>
    </w:p>
    <w:p>
      <w:pPr>
        <w:numPr>
          <w:ilvl w:val="0"/>
          <w:numId w:val="2"/>
        </w:num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公示内容：</w:t>
      </w:r>
    </w:p>
    <w:p>
      <w:pPr>
        <w:numPr>
          <w:ilvl w:val="0"/>
          <w:numId w:val="0"/>
        </w:num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1）贵州省各地区服务商清单（每个地区公示1-3家，含服务商名，联系方式，服务评分）</w:t>
      </w:r>
    </w:p>
    <w:p>
      <w:pPr>
        <w:numPr>
          <w:ilvl w:val="0"/>
          <w:numId w:val="3"/>
        </w:num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项目实名制软件申请流程</w:t>
      </w:r>
    </w:p>
    <w:p>
      <w:pPr>
        <w:numPr>
          <w:ilvl w:val="0"/>
          <w:numId w:val="3"/>
        </w:num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服务投诉电话 </w:t>
      </w:r>
    </w:p>
    <w:p>
      <w:pPr>
        <w:numPr>
          <w:ilvl w:val="0"/>
          <w:numId w:val="3"/>
        </w:num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服务内容与服务保障</w:t>
      </w:r>
    </w:p>
    <w:p>
      <w:pPr>
        <w:numPr>
          <w:ilvl w:val="0"/>
          <w:numId w:val="2"/>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公示方式：</w:t>
      </w:r>
      <w:r>
        <w:rPr>
          <w:rFonts w:hint="eastAsia" w:ascii="微软雅黑" w:hAnsi="微软雅黑" w:eastAsia="微软雅黑" w:cs="微软雅黑"/>
          <w:b w:val="0"/>
          <w:bCs w:val="0"/>
          <w:lang w:val="en-US" w:eastAsia="zh-CN"/>
        </w:rPr>
        <w:t>网站用户选择地区查看，</w:t>
      </w:r>
      <w:r>
        <w:rPr>
          <w:rFonts w:hint="eastAsia" w:ascii="微软雅黑" w:hAnsi="微软雅黑" w:eastAsia="微软雅黑" w:cs="微软雅黑"/>
          <w:lang w:val="en-US" w:eastAsia="zh-CN"/>
        </w:rPr>
        <w:t>按服务商在该地区项目综合评价分数结果，公示前三名服务商名单与服务分。</w:t>
      </w:r>
    </w:p>
    <w:p>
      <w:pPr>
        <w:numPr>
          <w:ilvl w:val="0"/>
          <w:numId w:val="1"/>
        </w:numPr>
        <w:ind w:left="0" w:leftChars="0" w:firstLine="0" w:firstLineChars="0"/>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公示说明</w:t>
      </w:r>
    </w:p>
    <w:p>
      <w:pPr>
        <w:numPr>
          <w:ilvl w:val="0"/>
          <w:numId w:val="4"/>
        </w:numPr>
        <w:rPr>
          <w:rFonts w:hint="eastAsia" w:ascii="微软雅黑" w:hAnsi="微软雅黑" w:eastAsia="微软雅黑" w:cs="微软雅黑"/>
          <w:b w:val="0"/>
          <w:bCs w:val="0"/>
          <w:color w:val="FF0000"/>
          <w:sz w:val="21"/>
          <w:szCs w:val="21"/>
          <w:u w:val="single"/>
          <w:lang w:val="en-US" w:eastAsia="zh-CN"/>
        </w:rPr>
      </w:pPr>
      <w:r>
        <w:rPr>
          <w:rFonts w:hint="eastAsia" w:ascii="微软雅黑" w:hAnsi="微软雅黑" w:eastAsia="微软雅黑" w:cs="微软雅黑"/>
          <w:b w:val="0"/>
          <w:bCs w:val="0"/>
          <w:sz w:val="21"/>
          <w:szCs w:val="21"/>
          <w:lang w:val="en-US" w:eastAsia="zh-CN"/>
        </w:rPr>
        <w:t>旨在规范贵州省实名制服务市场，激励优质服务商。</w:t>
      </w:r>
    </w:p>
    <w:p>
      <w:pPr>
        <w:numPr>
          <w:ilvl w:val="0"/>
          <w:numId w:val="4"/>
        </w:numPr>
        <w:rPr>
          <w:rFonts w:hint="default" w:ascii="微软雅黑" w:hAnsi="微软雅黑" w:eastAsia="微软雅黑" w:cs="微软雅黑"/>
          <w:b w:val="0"/>
          <w:bCs w:val="0"/>
          <w:color w:val="FF0000"/>
          <w:sz w:val="21"/>
          <w:szCs w:val="21"/>
          <w:u w:val="single"/>
          <w:lang w:val="en-US" w:eastAsia="zh-CN"/>
        </w:rPr>
      </w:pPr>
      <w:r>
        <w:rPr>
          <w:rFonts w:hint="eastAsia" w:ascii="微软雅黑" w:hAnsi="微软雅黑" w:eastAsia="微软雅黑" w:cs="微软雅黑"/>
          <w:b w:val="0"/>
          <w:bCs w:val="0"/>
          <w:color w:val="FF0000"/>
          <w:sz w:val="21"/>
          <w:szCs w:val="21"/>
          <w:u w:val="single"/>
          <w:lang w:val="en-US" w:eastAsia="zh-CN"/>
        </w:rPr>
        <w:t>本推荐机制为奖励机制，并无惩罚。对于未上推荐名单的服务商，信用通公司也不会取消服务资格。</w:t>
      </w:r>
    </w:p>
    <w:p>
      <w:pPr>
        <w:numPr>
          <w:ilvl w:val="0"/>
          <w:numId w:val="4"/>
        </w:numPr>
        <w:rPr>
          <w:rFonts w:hint="default" w:ascii="微软雅黑" w:hAnsi="微软雅黑" w:eastAsia="微软雅黑" w:cs="微软雅黑"/>
          <w:b w:val="0"/>
          <w:bCs w:val="0"/>
          <w:color w:val="FF0000"/>
          <w:sz w:val="21"/>
          <w:szCs w:val="21"/>
          <w:u w:val="single"/>
          <w:lang w:val="en-US" w:eastAsia="zh-CN"/>
        </w:rPr>
      </w:pPr>
      <w:r>
        <w:rPr>
          <w:rFonts w:hint="eastAsia" w:ascii="微软雅黑" w:hAnsi="微软雅黑" w:eastAsia="微软雅黑" w:cs="微软雅黑"/>
          <w:b w:val="0"/>
          <w:bCs w:val="0"/>
          <w:color w:val="FF0000"/>
          <w:sz w:val="21"/>
          <w:szCs w:val="21"/>
          <w:u w:val="single"/>
          <w:lang w:val="en-US" w:eastAsia="zh-CN"/>
        </w:rPr>
        <w:t>建议服务规模较小的服务商（30个项目以下），挂靠在规模较大的服务商下（100个项目以上），信用通统一通过大服务商进行协调管理。</w:t>
      </w:r>
    </w:p>
    <w:p>
      <w:pPr>
        <w:numPr>
          <w:ilvl w:val="0"/>
          <w:numId w:val="1"/>
        </w:numPr>
        <w:ind w:left="0" w:leftChars="0" w:firstLine="0" w:firstLineChars="0"/>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服务商服务标准</w:t>
      </w:r>
    </w:p>
    <w:p>
      <w:pPr>
        <w:numPr>
          <w:ilvl w:val="0"/>
          <w:numId w:val="0"/>
        </w:numPr>
        <w:ind w:leftChars="0"/>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为保证贵州省工程建设领域实名制市场的服务质量，对合作服务商以下协议要求。</w:t>
      </w:r>
    </w:p>
    <w:p>
      <w:pPr>
        <w:numPr>
          <w:ilvl w:val="0"/>
          <w:numId w:val="0"/>
        </w:numPr>
        <w:rPr>
          <w:rFonts w:hint="eastAsia" w:ascii="微软雅黑" w:hAnsi="微软雅黑" w:eastAsia="微软雅黑" w:cs="微软雅黑"/>
          <w:b/>
          <w:bCs/>
          <w:color w:val="FF0000"/>
          <w:u w:val="single"/>
          <w:lang w:val="en-US" w:eastAsia="zh-CN"/>
        </w:rPr>
      </w:pPr>
      <w:r>
        <w:rPr>
          <w:rFonts w:hint="eastAsia" w:ascii="微软雅黑" w:hAnsi="微软雅黑" w:eastAsia="微软雅黑" w:cs="微软雅黑"/>
          <w:b/>
          <w:bCs/>
          <w:color w:val="FF0000"/>
          <w:u w:val="single"/>
          <w:lang w:val="en-US" w:eastAsia="zh-CN"/>
        </w:rPr>
        <w:t>为项目方提供硬件、软件、监管指标数据提升和售后服务。</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1、软件服务：</w:t>
      </w:r>
      <w:r>
        <w:rPr>
          <w:rFonts w:hint="eastAsia" w:ascii="微软雅黑" w:hAnsi="微软雅黑" w:eastAsia="微软雅黑" w:cs="微软雅黑"/>
          <w:lang w:val="en-US" w:eastAsia="zh-CN"/>
        </w:rPr>
        <w:t>服务商提供实名制系统软件接入服务。帮助项目完成省监管平台账号注册申请，完成项目上报与入库。</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2、硬件服务：</w:t>
      </w:r>
      <w:r>
        <w:rPr>
          <w:rFonts w:hint="eastAsia" w:ascii="微软雅黑" w:hAnsi="微软雅黑" w:eastAsia="微软雅黑" w:cs="微软雅黑"/>
          <w:lang w:val="en-US" w:eastAsia="zh-CN"/>
        </w:rPr>
        <w:t>服务商将提供实名制硬件设备的集采与送货上门服务，提供设备安装，调试，全面配合验收。针对项目方操作人员进行系统安装、调试、数据准备、业务流程、操作方法等一系列培训，使其掌握系统操作（一般为劳资专管员）。</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3、数据服务：</w:t>
      </w:r>
      <w:r>
        <w:rPr>
          <w:rFonts w:hint="eastAsia" w:ascii="微软雅黑" w:hAnsi="微软雅黑" w:eastAsia="微软雅黑" w:cs="微软雅黑"/>
          <w:lang w:val="en-US" w:eastAsia="zh-CN"/>
        </w:rPr>
        <w:t>服务商严格按照《保障农民工工资支付条例》中的内容，协助项目完成6个百分百指标，并配有专员1对1服务，帮助项目实时推送数据，完成省厅平台大数据监管的要求。</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4、售后服务：</w:t>
      </w:r>
      <w:r>
        <w:rPr>
          <w:rFonts w:hint="eastAsia" w:ascii="微软雅黑" w:hAnsi="微软雅黑" w:eastAsia="微软雅黑" w:cs="微软雅黑"/>
          <w:lang w:val="en-US" w:eastAsia="zh-CN"/>
        </w:rPr>
        <w:t>服务商提供7*24小时的在线客服，为项目解决软件、硬件和数据问题。对于设备产生的故障，承诺在接到故障通知的30分钟内完成初步诊断，非硬件类问题4小时内解决；硬件类故障在72小时内解决。</w:t>
      </w:r>
    </w:p>
    <w:p>
      <w:pPr>
        <w:numPr>
          <w:ilvl w:val="0"/>
          <w:numId w:val="0"/>
        </w:numPr>
        <w:rPr>
          <w:rFonts w:hint="eastAsia" w:ascii="微软雅黑" w:hAnsi="微软雅黑" w:eastAsia="微软雅黑" w:cs="微软雅黑"/>
          <w:u w:val="single"/>
          <w:lang w:val="en-US" w:eastAsia="zh-CN"/>
        </w:rPr>
      </w:pPr>
      <w:r>
        <w:rPr>
          <w:rFonts w:hint="eastAsia" w:ascii="微软雅黑" w:hAnsi="微软雅黑" w:eastAsia="微软雅黑" w:cs="微软雅黑"/>
          <w:lang w:val="en-US" w:eastAsia="zh-CN"/>
        </w:rPr>
        <w:t>5、</w:t>
      </w:r>
      <w:r>
        <w:rPr>
          <w:rFonts w:hint="eastAsia" w:ascii="微软雅黑" w:hAnsi="微软雅黑" w:eastAsia="微软雅黑" w:cs="微软雅黑"/>
          <w:u w:val="single"/>
          <w:lang w:val="en-US" w:eastAsia="zh-CN"/>
        </w:rPr>
        <w:t>满足客户工地现场考勤数据实时准确推送和随时上门提供服务的要求。</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u w:val="none"/>
          <w:lang w:val="en-US" w:eastAsia="zh-CN"/>
        </w:rPr>
        <w:t>6、</w:t>
      </w:r>
      <w:r>
        <w:rPr>
          <w:rFonts w:hint="eastAsia" w:ascii="微软雅黑" w:hAnsi="微软雅黑" w:eastAsia="微软雅黑" w:cs="微软雅黑"/>
          <w:u w:val="single"/>
          <w:lang w:val="en-US" w:eastAsia="zh-CN"/>
        </w:rPr>
        <w:t>确保有不少于3名人员在服务区域工作，及时处理相关问题和投诉。</w:t>
      </w:r>
    </w:p>
    <w:p/>
    <w:p>
      <w:pPr>
        <w:numPr>
          <w:ilvl w:val="0"/>
          <w:numId w:val="1"/>
        </w:numPr>
        <w:ind w:left="0" w:leftChars="0" w:firstLine="0" w:firstLineChars="0"/>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服务商评价体系</w:t>
      </w:r>
    </w:p>
    <w:p>
      <w:pPr>
        <w:numPr>
          <w:ilvl w:val="0"/>
          <w:numId w:val="5"/>
        </w:numPr>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考核时间：</w:t>
      </w:r>
      <w:r>
        <w:rPr>
          <w:rFonts w:hint="eastAsia" w:ascii="微软雅黑" w:hAnsi="微软雅黑" w:eastAsia="微软雅黑" w:cs="微软雅黑"/>
          <w:lang w:val="en-US" w:eastAsia="zh-CN"/>
        </w:rPr>
        <w:t>从2022年12月开始，</w:t>
      </w:r>
      <w:r>
        <w:rPr>
          <w:rFonts w:hint="eastAsia" w:ascii="微软雅黑" w:hAnsi="微软雅黑" w:eastAsia="微软雅黑" w:cs="微软雅黑"/>
          <w:b/>
          <w:bCs/>
          <w:u w:val="single"/>
          <w:lang w:val="en-US" w:eastAsia="zh-CN"/>
        </w:rPr>
        <w:t>按季度（暂定）</w:t>
      </w:r>
      <w:r>
        <w:rPr>
          <w:rFonts w:hint="eastAsia" w:ascii="微软雅黑" w:hAnsi="微软雅黑" w:eastAsia="微软雅黑" w:cs="微软雅黑"/>
          <w:lang w:val="en-US" w:eastAsia="zh-CN"/>
        </w:rPr>
        <w:t>对服务商所服务的所有项目进行服务水平综合考核评分。</w:t>
      </w:r>
    </w:p>
    <w:p>
      <w:pPr>
        <w:numPr>
          <w:ilvl w:val="0"/>
          <w:numId w:val="5"/>
        </w:numPr>
        <w:rPr>
          <w:rFonts w:hint="default" w:ascii="微软雅黑" w:hAnsi="微软雅黑" w:eastAsia="微软雅黑" w:cs="微软雅黑"/>
          <w:lang w:val="en-US" w:eastAsia="zh-CN"/>
        </w:rPr>
      </w:pPr>
      <w:r>
        <w:rPr>
          <w:rFonts w:hint="eastAsia" w:ascii="微软雅黑" w:hAnsi="微软雅黑" w:eastAsia="微软雅黑" w:cs="微软雅黑"/>
          <w:b/>
          <w:bCs/>
          <w:lang w:val="en-US" w:eastAsia="zh-CN"/>
        </w:rPr>
        <w:t>评价结果公示：</w:t>
      </w:r>
      <w:r>
        <w:rPr>
          <w:rFonts w:hint="eastAsia" w:ascii="微软雅黑" w:hAnsi="微软雅黑" w:eastAsia="微软雅黑" w:cs="微软雅黑"/>
          <w:lang w:val="en-US" w:eastAsia="zh-CN"/>
        </w:rPr>
        <w:t>以综合评价最终分数决定服务商名单的公示排名，并展示对应分数。</w:t>
      </w:r>
    </w:p>
    <w:p>
      <w:pPr>
        <w:numPr>
          <w:ilvl w:val="0"/>
          <w:numId w:val="5"/>
        </w:numPr>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服务标准门槛：</w:t>
      </w:r>
      <w:r>
        <w:rPr>
          <w:rFonts w:hint="eastAsia" w:ascii="微软雅黑" w:hAnsi="微软雅黑" w:eastAsia="微软雅黑" w:cs="微软雅黑"/>
          <w:lang w:val="en-US" w:eastAsia="zh-CN"/>
        </w:rPr>
        <w:t>服务商需达到服务标准门槛才能进入推荐名单，见附表。</w:t>
      </w:r>
    </w:p>
    <w:p>
      <w:pPr>
        <w:numPr>
          <w:ilvl w:val="0"/>
          <w:numId w:val="5"/>
        </w:numPr>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整改期限：</w:t>
      </w:r>
      <w:r>
        <w:rPr>
          <w:rFonts w:hint="eastAsia" w:ascii="微软雅黑" w:hAnsi="微软雅黑" w:eastAsia="微软雅黑" w:cs="微软雅黑"/>
          <w:lang w:val="en-US" w:eastAsia="zh-CN"/>
        </w:rPr>
        <w:t>对已在名单上的服务商，若季度考核未达到入围门槛，给到</w:t>
      </w:r>
      <w:r>
        <w:rPr>
          <w:rFonts w:hint="eastAsia" w:ascii="微软雅黑" w:hAnsi="微软雅黑" w:eastAsia="微软雅黑" w:cs="微软雅黑"/>
          <w:u w:val="single"/>
          <w:lang w:val="en-US" w:eastAsia="zh-CN"/>
        </w:rPr>
        <w:t>一个月的整改期</w:t>
      </w:r>
      <w:r>
        <w:rPr>
          <w:rFonts w:hint="eastAsia" w:ascii="微软雅黑" w:hAnsi="微软雅黑" w:eastAsia="微软雅黑" w:cs="微软雅黑"/>
          <w:lang w:val="en-US" w:eastAsia="zh-CN"/>
        </w:rPr>
        <w:t>，未完成考核整改将移除推荐名单。</w:t>
      </w:r>
    </w:p>
    <w:p>
      <w:pPr>
        <w:numPr>
          <w:ilvl w:val="0"/>
          <w:numId w:val="0"/>
        </w:numPr>
        <w:ind w:leftChars="0"/>
        <w:jc w:val="center"/>
        <w:rPr>
          <w:rFonts w:hint="default" w:ascii="微软雅黑" w:hAnsi="微软雅黑" w:eastAsia="微软雅黑" w:cs="微软雅黑"/>
          <w:lang w:val="en-US" w:eastAsia="zh-CN"/>
        </w:rPr>
      </w:pPr>
      <w:r>
        <w:rPr>
          <w:rFonts w:hint="eastAsia" w:ascii="微软雅黑" w:hAnsi="微软雅黑" w:eastAsia="微软雅黑" w:cs="微软雅黑"/>
          <w:b/>
          <w:bCs/>
          <w:color w:val="808080" w:themeColor="text1" w:themeTint="80"/>
          <w:lang w:val="en-US" w:eastAsia="zh-CN"/>
          <w14:textFill>
            <w14:solidFill>
              <w14:schemeClr w14:val="tx1">
                <w14:lumMod w14:val="50000"/>
                <w14:lumOff w14:val="50000"/>
              </w14:schemeClr>
            </w14:solidFill>
          </w14:textFill>
        </w:rPr>
        <w:t>附：服务商评价体系分数表</w:t>
      </w:r>
    </w:p>
    <w:tbl>
      <w:tblPr>
        <w:tblStyle w:val="2"/>
        <w:tblW w:w="9772" w:type="dxa"/>
        <w:tblInd w:w="0" w:type="dxa"/>
        <w:shd w:val="clear" w:color="auto" w:fill="auto"/>
        <w:tblLayout w:type="fixed"/>
        <w:tblCellMar>
          <w:top w:w="0" w:type="dxa"/>
          <w:left w:w="0" w:type="dxa"/>
          <w:bottom w:w="0" w:type="dxa"/>
          <w:right w:w="0" w:type="dxa"/>
        </w:tblCellMar>
      </w:tblPr>
      <w:tblGrid>
        <w:gridCol w:w="1488"/>
        <w:gridCol w:w="1669"/>
        <w:gridCol w:w="1455"/>
        <w:gridCol w:w="600"/>
        <w:gridCol w:w="690"/>
        <w:gridCol w:w="1665"/>
        <w:gridCol w:w="2205"/>
      </w:tblGrid>
      <w:tr>
        <w:tblPrEx>
          <w:shd w:val="clear" w:color="auto" w:fill="auto"/>
          <w:tblCellMar>
            <w:top w:w="0" w:type="dxa"/>
            <w:left w:w="0" w:type="dxa"/>
            <w:bottom w:w="0" w:type="dxa"/>
            <w:right w:w="0"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维度</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指数</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服务标准门槛</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2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项目数据提升服务</w:t>
            </w: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六项指标达标率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综合达标率平均不低于80%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0" w:hRule="atLeast"/>
        </w:trPr>
        <w:tc>
          <w:tcPr>
            <w:tcW w:w="14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C端农民工线上服务和权益保障</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智慧劳务APP服务推广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注册使用率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存量项目不低于50%或</w:t>
            </w:r>
          </w:p>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新增项目不低于50%</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包含APP注册、维权视频观看、考勤打卡、工资确认、离场结算、电子合同等功能</w:t>
            </w:r>
          </w:p>
        </w:tc>
      </w:tr>
      <w:tr>
        <w:tblPrEx>
          <w:shd w:val="clear" w:color="auto" w:fill="auto"/>
          <w:tblCellMar>
            <w:top w:w="0" w:type="dxa"/>
            <w:left w:w="0" w:type="dxa"/>
            <w:bottom w:w="0" w:type="dxa"/>
            <w:right w:w="0" w:type="dxa"/>
          </w:tblCellMar>
        </w:tblPrEx>
        <w:trPr>
          <w:trHeight w:val="500" w:hRule="atLeast"/>
        </w:trPr>
        <w:tc>
          <w:tcPr>
            <w:tcW w:w="148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工资代发量</w:t>
            </w:r>
          </w:p>
        </w:tc>
        <w:tc>
          <w:tcPr>
            <w:tcW w:w="1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人均代发量/月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3000元以下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4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3000-5000元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4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5000元以上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服务投诉</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（扣分项）</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项目服务投诉量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每个扣5分</w:t>
            </w:r>
          </w:p>
        </w:tc>
        <w:tc>
          <w:tcPr>
            <w:tcW w:w="12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在评价总得分上扣除</w:t>
            </w:r>
          </w:p>
        </w:tc>
      </w:tr>
      <w:tr>
        <w:tblPrEx>
          <w:tblCellMar>
            <w:top w:w="0" w:type="dxa"/>
            <w:left w:w="0" w:type="dxa"/>
            <w:bottom w:w="0" w:type="dxa"/>
            <w:right w:w="0" w:type="dxa"/>
          </w:tblCellMar>
        </w:tblPrEx>
        <w:trPr>
          <w:trHeight w:val="500" w:hRule="atLeast"/>
        </w:trPr>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工人欠薪投诉量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每个扣1分</w:t>
            </w: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numPr>
          <w:ilvl w:val="0"/>
          <w:numId w:val="0"/>
        </w:numPr>
        <w:rPr>
          <w:rFonts w:hint="eastAsia" w:ascii="微软雅黑" w:hAnsi="微软雅黑" w:eastAsia="微软雅黑" w:cs="微软雅黑"/>
          <w:lang w:val="en-US" w:eastAsia="zh-CN"/>
        </w:rPr>
      </w:pPr>
    </w:p>
    <w:p>
      <w:pPr>
        <w:numPr>
          <w:ilvl w:val="0"/>
          <w:numId w:val="0"/>
        </w:numPr>
        <w:ind w:leftChars="0"/>
        <w:rPr>
          <w:rFonts w:hint="default" w:ascii="微软雅黑" w:hAnsi="微软雅黑" w:eastAsia="微软雅黑" w:cs="微软雅黑"/>
          <w:lang w:val="en-US" w:eastAsia="zh-CN"/>
        </w:rPr>
      </w:pPr>
    </w:p>
    <w:p>
      <w:pPr>
        <w:numPr>
          <w:ilvl w:val="0"/>
          <w:numId w:val="1"/>
        </w:numPr>
        <w:ind w:left="0" w:leftChars="0" w:firstLine="0" w:firstLineChars="0"/>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指标说明</w:t>
      </w:r>
    </w:p>
    <w:p>
      <w:pPr>
        <w:numPr>
          <w:ilvl w:val="0"/>
          <w:numId w:val="6"/>
        </w:numPr>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指标1-六项指标达标率：</w:t>
      </w:r>
      <w:r>
        <w:rPr>
          <w:rFonts w:hint="eastAsia" w:ascii="微软雅黑" w:hAnsi="微软雅黑" w:eastAsia="微软雅黑" w:cs="微软雅黑"/>
          <w:lang w:val="en-US" w:eastAsia="zh-CN"/>
        </w:rPr>
        <w:t>指该服务商名下服务项目在省级“六项指标”的监管落实情况。计算方式为</w:t>
      </w:r>
      <w:r>
        <w:rPr>
          <w:rFonts w:hint="eastAsia" w:ascii="微软雅黑" w:hAnsi="微软雅黑" w:eastAsia="微软雅黑" w:cs="微软雅黑"/>
          <w:u w:val="single"/>
          <w:lang w:val="en-US" w:eastAsia="zh-CN"/>
        </w:rPr>
        <w:t>服务项目综合达标率的平均数</w:t>
      </w:r>
      <w:r>
        <w:rPr>
          <w:rFonts w:hint="eastAsia" w:ascii="微软雅黑" w:hAnsi="微软雅黑" w:eastAsia="微软雅黑" w:cs="微软雅黑"/>
          <w:lang w:val="en-US" w:eastAsia="zh-CN"/>
        </w:rPr>
        <w:t>。</w:t>
      </w:r>
    </w:p>
    <w:p>
      <w:pPr>
        <w:numPr>
          <w:ilvl w:val="0"/>
          <w:numId w:val="6"/>
        </w:numPr>
        <w:rPr>
          <w:rFonts w:hint="eastAsia" w:ascii="微软雅黑" w:hAnsi="微软雅黑" w:eastAsia="微软雅黑" w:cs="微软雅黑"/>
          <w:u w:val="single"/>
          <w:lang w:val="en-US" w:eastAsia="zh-CN"/>
        </w:rPr>
      </w:pPr>
      <w:r>
        <w:rPr>
          <w:rFonts w:hint="eastAsia" w:ascii="微软雅黑" w:hAnsi="微软雅黑" w:eastAsia="微软雅黑" w:cs="微软雅黑"/>
          <w:b/>
          <w:bCs/>
          <w:lang w:val="en-US" w:eastAsia="zh-CN"/>
        </w:rPr>
        <w:t>指标2-智慧劳务APP服务推广：</w:t>
      </w:r>
      <w:r>
        <w:rPr>
          <w:rFonts w:hint="eastAsia" w:ascii="微软雅黑" w:hAnsi="微软雅黑" w:eastAsia="微软雅黑" w:cs="微软雅黑"/>
          <w:lang w:val="en-US" w:eastAsia="zh-CN"/>
        </w:rPr>
        <w:t>指在服务项目中推广智慧劳务APP，推动项目务工人员的注册或使用功能。包含APP注册、维权视频观看、工资确认、离场结算。计算方式为</w:t>
      </w:r>
      <w:r>
        <w:rPr>
          <w:rFonts w:hint="eastAsia" w:ascii="微软雅黑" w:hAnsi="微软雅黑" w:eastAsia="微软雅黑" w:cs="微软雅黑"/>
          <w:u w:val="single"/>
          <w:lang w:val="en-US" w:eastAsia="zh-CN"/>
        </w:rPr>
        <w:t>APP注册或使用人数/项目总人数。</w:t>
      </w:r>
    </w:p>
    <w:p>
      <w:pPr>
        <w:numPr>
          <w:ilvl w:val="0"/>
          <w:numId w:val="6"/>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指标3-工资代发量：</w:t>
      </w:r>
      <w:r>
        <w:rPr>
          <w:rFonts w:hint="eastAsia" w:ascii="微软雅黑" w:hAnsi="微软雅黑" w:eastAsia="微软雅黑" w:cs="微软雅黑"/>
          <w:lang w:val="en-US" w:eastAsia="zh-CN"/>
        </w:rPr>
        <w:t>指服务商所服务项目总的工资代发情况，按月以人均代发量进行计算。根据考核周期的结果区间获得分数。</w:t>
      </w:r>
    </w:p>
    <w:p>
      <w:pPr>
        <w:numPr>
          <w:ilvl w:val="0"/>
          <w:numId w:val="6"/>
        </w:numPr>
        <w:ind w:left="0" w:leftChars="0" w:firstLine="0" w:firstLineChars="0"/>
        <w:rPr>
          <w:rFonts w:hint="default" w:ascii="微软雅黑" w:hAnsi="微软雅黑" w:eastAsia="微软雅黑" w:cs="微软雅黑"/>
          <w:lang w:val="en-US" w:eastAsia="zh-CN"/>
        </w:rPr>
      </w:pPr>
      <w:r>
        <w:rPr>
          <w:rFonts w:hint="eastAsia" w:ascii="微软雅黑" w:hAnsi="微软雅黑" w:eastAsia="微软雅黑" w:cs="微软雅黑"/>
          <w:b/>
          <w:bCs/>
          <w:lang w:val="en-US" w:eastAsia="zh-CN"/>
        </w:rPr>
        <w:t>服务投诉（扣分项）：</w:t>
      </w:r>
      <w:r>
        <w:rPr>
          <w:rFonts w:hint="eastAsia" w:ascii="微软雅黑" w:hAnsi="微软雅黑" w:eastAsia="微软雅黑" w:cs="微软雅黑"/>
          <w:lang w:val="en-US" w:eastAsia="zh-CN"/>
        </w:rPr>
        <w:t>指服务商在项目服务中产生的项目方服务投诉和工人欠薪投诉，以单个投诉案件计算。在指标-123总得分基础上，按每个项目服务投诉扣5分，每个工人欠薪案件扣1分计算，得到服务商评价总分。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24BDD"/>
    <w:multiLevelType w:val="singleLevel"/>
    <w:tmpl w:val="86624BDD"/>
    <w:lvl w:ilvl="0" w:tentative="0">
      <w:start w:val="1"/>
      <w:numFmt w:val="chineseCounting"/>
      <w:suff w:val="nothing"/>
      <w:lvlText w:val="%1、"/>
      <w:lvlJc w:val="left"/>
      <w:rPr>
        <w:rFonts w:hint="eastAsia"/>
      </w:rPr>
    </w:lvl>
  </w:abstractNum>
  <w:abstractNum w:abstractNumId="1">
    <w:nsid w:val="A0706D20"/>
    <w:multiLevelType w:val="singleLevel"/>
    <w:tmpl w:val="A0706D20"/>
    <w:lvl w:ilvl="0" w:tentative="0">
      <w:start w:val="1"/>
      <w:numFmt w:val="decimal"/>
      <w:lvlText w:val="%1."/>
      <w:lvlJc w:val="left"/>
      <w:pPr>
        <w:tabs>
          <w:tab w:val="left" w:pos="312"/>
        </w:tabs>
      </w:pPr>
    </w:lvl>
  </w:abstractNum>
  <w:abstractNum w:abstractNumId="2">
    <w:nsid w:val="C27719B2"/>
    <w:multiLevelType w:val="singleLevel"/>
    <w:tmpl w:val="C27719B2"/>
    <w:lvl w:ilvl="0" w:tentative="0">
      <w:start w:val="1"/>
      <w:numFmt w:val="decimal"/>
      <w:suff w:val="nothing"/>
      <w:lvlText w:val="%1、"/>
      <w:lvlJc w:val="left"/>
    </w:lvl>
  </w:abstractNum>
  <w:abstractNum w:abstractNumId="3">
    <w:nsid w:val="F39E5242"/>
    <w:multiLevelType w:val="singleLevel"/>
    <w:tmpl w:val="F39E5242"/>
    <w:lvl w:ilvl="0" w:tentative="0">
      <w:start w:val="2"/>
      <w:numFmt w:val="decimal"/>
      <w:suff w:val="nothing"/>
      <w:lvlText w:val="%1）"/>
      <w:lvlJc w:val="left"/>
    </w:lvl>
  </w:abstractNum>
  <w:abstractNum w:abstractNumId="4">
    <w:nsid w:val="1DF34EBF"/>
    <w:multiLevelType w:val="singleLevel"/>
    <w:tmpl w:val="1DF34EBF"/>
    <w:lvl w:ilvl="0" w:tentative="0">
      <w:start w:val="1"/>
      <w:numFmt w:val="decimal"/>
      <w:suff w:val="nothing"/>
      <w:lvlText w:val="%1、"/>
      <w:lvlJc w:val="left"/>
    </w:lvl>
  </w:abstractNum>
  <w:abstractNum w:abstractNumId="5">
    <w:nsid w:val="6D3EECA0"/>
    <w:multiLevelType w:val="singleLevel"/>
    <w:tmpl w:val="6D3EECA0"/>
    <w:lvl w:ilvl="0" w:tentative="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21AE5"/>
    <w:rsid w:val="00486421"/>
    <w:rsid w:val="05121AE5"/>
    <w:rsid w:val="17D46D6C"/>
    <w:rsid w:val="1CF348D2"/>
    <w:rsid w:val="1D0677EE"/>
    <w:rsid w:val="1FA64685"/>
    <w:rsid w:val="222711C3"/>
    <w:rsid w:val="27620091"/>
    <w:rsid w:val="2A906740"/>
    <w:rsid w:val="33B32C4C"/>
    <w:rsid w:val="34AC2470"/>
    <w:rsid w:val="367836F1"/>
    <w:rsid w:val="399933D3"/>
    <w:rsid w:val="3CF20679"/>
    <w:rsid w:val="40425AC7"/>
    <w:rsid w:val="43AC4023"/>
    <w:rsid w:val="447F6445"/>
    <w:rsid w:val="4AF4254D"/>
    <w:rsid w:val="4EDE2118"/>
    <w:rsid w:val="4F353C9C"/>
    <w:rsid w:val="52446C46"/>
    <w:rsid w:val="53B1206A"/>
    <w:rsid w:val="5C980ABC"/>
    <w:rsid w:val="610D4BFB"/>
    <w:rsid w:val="6EBA700C"/>
    <w:rsid w:val="71C622F1"/>
    <w:rsid w:val="732F6E9B"/>
    <w:rsid w:val="75262E8B"/>
    <w:rsid w:val="76D76087"/>
    <w:rsid w:val="7AE6573F"/>
    <w:rsid w:val="7D8432CE"/>
    <w:rsid w:val="7E4E2E36"/>
    <w:rsid w:val="7EDF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2022-11-04T02:49:00Z</dcterms:created>
  <dc:creator>默默</dc:creator>
  <cp:lastModifiedBy>默默</cp:lastModifiedBy>
  <dcterms:modified xsi:type="dcterms:W3CDTF">2022-12-16T02:15:43Z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